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B0" w:rsidRPr="005211B0" w:rsidRDefault="005211B0" w:rsidP="005211B0">
      <w:pPr>
        <w:rPr>
          <w:b/>
          <w:lang w:val="en-US"/>
        </w:rPr>
      </w:pPr>
      <w:proofErr w:type="spellStart"/>
      <w:r w:rsidRPr="005211B0">
        <w:rPr>
          <w:b/>
          <w:lang w:val="en-US"/>
        </w:rPr>
        <w:t>Kishanganga</w:t>
      </w:r>
      <w:proofErr w:type="spellEnd"/>
      <w:r w:rsidRPr="005211B0">
        <w:rPr>
          <w:b/>
          <w:lang w:val="en-US"/>
        </w:rPr>
        <w:t xml:space="preserve"> Hydroelectric project  </w:t>
      </w:r>
    </w:p>
    <w:p w:rsidR="005211B0" w:rsidRPr="005211B0" w:rsidRDefault="005211B0" w:rsidP="005211B0">
      <w:pPr>
        <w:rPr>
          <w:lang w:val="en-US"/>
        </w:rPr>
      </w:pPr>
      <w:r w:rsidRPr="005211B0">
        <w:rPr>
          <w:lang w:val="en-US"/>
        </w:rPr>
        <w:t xml:space="preserve">The Double Shield Universal </w:t>
      </w:r>
      <w:proofErr w:type="spellStart"/>
      <w:r w:rsidRPr="005211B0">
        <w:rPr>
          <w:lang w:val="en-US"/>
        </w:rPr>
        <w:t>TBM</w:t>
      </w:r>
      <w:proofErr w:type="spellEnd"/>
      <w:r w:rsidRPr="005211B0">
        <w:rPr>
          <w:lang w:val="en-US"/>
        </w:rPr>
        <w:t xml:space="preserve">, manufactured by </w:t>
      </w:r>
      <w:proofErr w:type="spellStart"/>
      <w:r w:rsidRPr="005211B0">
        <w:rPr>
          <w:lang w:val="en-US"/>
        </w:rPr>
        <w:t>SELI</w:t>
      </w:r>
      <w:proofErr w:type="spellEnd"/>
      <w:r w:rsidRPr="005211B0">
        <w:rPr>
          <w:lang w:val="en-US"/>
        </w:rPr>
        <w:t xml:space="preserve">, is boring the </w:t>
      </w:r>
      <w:proofErr w:type="spellStart"/>
      <w:r w:rsidRPr="005211B0">
        <w:rPr>
          <w:lang w:val="en-US"/>
        </w:rPr>
        <w:t>HeadRace</w:t>
      </w:r>
      <w:proofErr w:type="spellEnd"/>
      <w:r w:rsidRPr="005211B0">
        <w:rPr>
          <w:lang w:val="en-US"/>
        </w:rPr>
        <w:t xml:space="preserve"> Tunnel (</w:t>
      </w:r>
      <w:proofErr w:type="spellStart"/>
      <w:r w:rsidRPr="005211B0">
        <w:rPr>
          <w:lang w:val="en-US"/>
        </w:rPr>
        <w:t>HRT</w:t>
      </w:r>
      <w:proofErr w:type="spellEnd"/>
      <w:r w:rsidRPr="005211B0">
        <w:rPr>
          <w:lang w:val="en-US"/>
        </w:rPr>
        <w:t xml:space="preserve">) 14,630 m long, 2500 m </w:t>
      </w:r>
      <w:proofErr w:type="spellStart"/>
      <w:r w:rsidRPr="005211B0">
        <w:rPr>
          <w:lang w:val="en-US"/>
        </w:rPr>
        <w:t>a.s.l</w:t>
      </w:r>
      <w:proofErr w:type="spellEnd"/>
      <w:r w:rsidRPr="005211B0">
        <w:rPr>
          <w:lang w:val="en-US"/>
        </w:rPr>
        <w:t xml:space="preserve"> on Himalayan Mountains, in the frame of the </w:t>
      </w:r>
      <w:proofErr w:type="spellStart"/>
      <w:r w:rsidRPr="005211B0">
        <w:rPr>
          <w:lang w:val="en-US"/>
        </w:rPr>
        <w:t>Kishanganga</w:t>
      </w:r>
      <w:proofErr w:type="spellEnd"/>
      <w:r w:rsidRPr="005211B0">
        <w:rPr>
          <w:lang w:val="en-US"/>
        </w:rPr>
        <w:t xml:space="preserve"> HE Project 330MW in Jammu &amp; Kashmir (India). The tunnel has a OD6,18 m and a ID5,20 m. The excavation is full </w:t>
      </w:r>
      <w:proofErr w:type="spellStart"/>
      <w:r w:rsidRPr="005211B0">
        <w:rPr>
          <w:lang w:val="en-US"/>
        </w:rPr>
        <w:t>secton</w:t>
      </w:r>
      <w:proofErr w:type="spellEnd"/>
      <w:r w:rsidRPr="005211B0">
        <w:rPr>
          <w:lang w:val="en-US"/>
        </w:rPr>
        <w:t xml:space="preserve"> from one only attack.</w:t>
      </w:r>
    </w:p>
    <w:p w:rsidR="005211B0" w:rsidRPr="005211B0" w:rsidRDefault="005211B0" w:rsidP="005211B0">
      <w:pPr>
        <w:rPr>
          <w:b/>
          <w:lang w:val="en-US"/>
        </w:rPr>
      </w:pPr>
      <w:r w:rsidRPr="005211B0">
        <w:rPr>
          <w:b/>
          <w:lang w:val="en-US"/>
        </w:rPr>
        <w:t xml:space="preserve">Geology </w:t>
      </w:r>
    </w:p>
    <w:p w:rsidR="005211B0" w:rsidRPr="005211B0" w:rsidRDefault="005211B0" w:rsidP="005211B0">
      <w:pPr>
        <w:rPr>
          <w:lang w:val="en-US"/>
        </w:rPr>
      </w:pPr>
      <w:r w:rsidRPr="005211B0">
        <w:rPr>
          <w:lang w:val="en-US"/>
        </w:rPr>
        <w:t xml:space="preserve">The following geological chart summarizes the geological information enclosed in the design documents delivered to </w:t>
      </w:r>
      <w:proofErr w:type="spellStart"/>
      <w:r w:rsidRPr="005211B0">
        <w:rPr>
          <w:lang w:val="en-US"/>
        </w:rPr>
        <w:t>SELI</w:t>
      </w:r>
      <w:proofErr w:type="spellEnd"/>
      <w:r w:rsidRPr="005211B0">
        <w:rPr>
          <w:lang w:val="en-US"/>
        </w:rPr>
        <w:t xml:space="preserve">, highlighting the likely rock class distribution that might have been encountered by the </w:t>
      </w:r>
      <w:proofErr w:type="spellStart"/>
      <w:r w:rsidRPr="005211B0">
        <w:rPr>
          <w:lang w:val="en-US"/>
        </w:rPr>
        <w:t>TBM</w:t>
      </w:r>
      <w:proofErr w:type="spellEnd"/>
      <w:r w:rsidRPr="005211B0">
        <w:rPr>
          <w:lang w:val="en-US"/>
        </w:rPr>
        <w:t xml:space="preserve">, and those conditions which might be critical in terms of </w:t>
      </w:r>
      <w:proofErr w:type="spellStart"/>
      <w:r w:rsidRPr="005211B0">
        <w:rPr>
          <w:lang w:val="en-US"/>
        </w:rPr>
        <w:t>TBM</w:t>
      </w:r>
      <w:proofErr w:type="spellEnd"/>
      <w:r w:rsidRPr="005211B0">
        <w:rPr>
          <w:lang w:val="en-US"/>
        </w:rPr>
        <w:t xml:space="preserve"> progress. Nevertheless, only visual surface investigation has been performed, which is very poor in order to reveal main fault zones, hydrogeology and thermal conditions. Anyway, shear and squeezing zones, significant water pressure and flow and geothermal anomalous conditions may be encountered in some areas, according to the studies performed.</w:t>
      </w:r>
    </w:p>
    <w:p w:rsidR="005211B0" w:rsidRPr="005211B0" w:rsidRDefault="005211B0" w:rsidP="005211B0">
      <w:pPr>
        <w:rPr>
          <w:lang w:val="en-US"/>
        </w:rPr>
      </w:pPr>
    </w:p>
    <w:tbl>
      <w:tblPr>
        <w:tblW w:w="5000" w:type="pct"/>
        <w:tblLayout w:type="fixed"/>
        <w:tblCellMar>
          <w:left w:w="70" w:type="dxa"/>
          <w:right w:w="70" w:type="dxa"/>
        </w:tblCellMar>
        <w:tblLook w:val="04A0" w:firstRow="1" w:lastRow="0" w:firstColumn="1" w:lastColumn="0" w:noHBand="0" w:noVBand="1"/>
      </w:tblPr>
      <w:tblGrid>
        <w:gridCol w:w="2130"/>
        <w:gridCol w:w="5311"/>
        <w:gridCol w:w="995"/>
        <w:gridCol w:w="1342"/>
      </w:tblGrid>
      <w:tr w:rsidR="005211B0" w:rsidRPr="005211B0" w:rsidTr="00FE570F">
        <w:trPr>
          <w:trHeight w:val="375"/>
        </w:trPr>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1B0" w:rsidRPr="005211B0" w:rsidRDefault="005211B0" w:rsidP="005211B0">
            <w:pPr>
              <w:rPr>
                <w:b/>
                <w:bCs/>
                <w:lang w:val="it-IT"/>
              </w:rPr>
            </w:pPr>
            <w:r w:rsidRPr="005211B0">
              <w:rPr>
                <w:b/>
                <w:bCs/>
                <w:lang w:val="it-IT"/>
              </w:rPr>
              <w:t>Generalised Rock Type</w:t>
            </w:r>
          </w:p>
        </w:tc>
        <w:tc>
          <w:tcPr>
            <w:tcW w:w="2716" w:type="pct"/>
            <w:tcBorders>
              <w:top w:val="single" w:sz="4" w:space="0" w:color="auto"/>
              <w:left w:val="nil"/>
              <w:bottom w:val="single" w:sz="4" w:space="0" w:color="auto"/>
              <w:right w:val="single" w:sz="4" w:space="0" w:color="auto"/>
            </w:tcBorders>
            <w:shd w:val="clear" w:color="auto" w:fill="auto"/>
            <w:noWrap/>
            <w:vAlign w:val="bottom"/>
            <w:hideMark/>
          </w:tcPr>
          <w:p w:rsidR="005211B0" w:rsidRPr="005211B0" w:rsidRDefault="005211B0" w:rsidP="005211B0">
            <w:pPr>
              <w:rPr>
                <w:b/>
                <w:bCs/>
                <w:lang w:val="it-IT"/>
              </w:rPr>
            </w:pPr>
            <w:r w:rsidRPr="005211B0">
              <w:rPr>
                <w:b/>
                <w:bCs/>
                <w:lang w:val="it-IT"/>
              </w:rPr>
              <w:t>Parameter</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5211B0" w:rsidRPr="005211B0" w:rsidRDefault="005211B0" w:rsidP="005211B0">
            <w:pPr>
              <w:rPr>
                <w:b/>
                <w:bCs/>
                <w:lang w:val="it-IT"/>
              </w:rPr>
            </w:pPr>
            <w:r w:rsidRPr="005211B0">
              <w:rPr>
                <w:b/>
                <w:bCs/>
                <w:lang w:val="it-IT"/>
              </w:rPr>
              <w:t xml:space="preserve">RMR </w:t>
            </w:r>
            <w:r w:rsidRPr="005211B0">
              <w:rPr>
                <w:b/>
                <w:bCs/>
                <w:vertAlign w:val="subscript"/>
                <w:lang w:val="it-IT"/>
              </w:rPr>
              <w:t>89</w:t>
            </w:r>
            <w:r w:rsidRPr="005211B0">
              <w:rPr>
                <w:b/>
                <w:bCs/>
                <w:vertAlign w:val="superscript"/>
                <w:lang w:val="it-IT"/>
              </w:rPr>
              <w:t>(1)</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5211B0" w:rsidRPr="005211B0" w:rsidRDefault="005211B0" w:rsidP="005211B0">
            <w:pPr>
              <w:rPr>
                <w:b/>
                <w:bCs/>
                <w:lang w:val="it-IT"/>
              </w:rPr>
            </w:pPr>
            <w:r w:rsidRPr="005211B0">
              <w:rPr>
                <w:b/>
                <w:bCs/>
                <w:lang w:val="it-IT"/>
              </w:rPr>
              <w:t>GSI</w:t>
            </w:r>
          </w:p>
        </w:tc>
      </w:tr>
      <w:tr w:rsidR="005211B0" w:rsidRPr="005211B0" w:rsidTr="00FE570F">
        <w:trPr>
          <w:trHeight w:val="300"/>
        </w:trPr>
        <w:tc>
          <w:tcPr>
            <w:tcW w:w="1089" w:type="pct"/>
            <w:tcBorders>
              <w:top w:val="nil"/>
              <w:left w:val="single" w:sz="4" w:space="0" w:color="auto"/>
              <w:bottom w:val="nil"/>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Razdhan Formation</w:t>
            </w:r>
          </w:p>
        </w:tc>
        <w:tc>
          <w:tcPr>
            <w:tcW w:w="2716"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en-US"/>
              </w:rPr>
            </w:pPr>
            <w:r w:rsidRPr="005211B0">
              <w:rPr>
                <w:lang w:val="en-US"/>
              </w:rPr>
              <w:t xml:space="preserve">Meta-sandstones, with </w:t>
            </w:r>
            <w:proofErr w:type="spellStart"/>
            <w:r w:rsidRPr="005211B0">
              <w:rPr>
                <w:lang w:val="en-US"/>
              </w:rPr>
              <w:t>interbedded</w:t>
            </w:r>
            <w:proofErr w:type="spellEnd"/>
            <w:r w:rsidRPr="005211B0">
              <w:rPr>
                <w:lang w:val="en-US"/>
              </w:rPr>
              <w:t xml:space="preserve"> siltstone</w:t>
            </w:r>
          </w:p>
        </w:tc>
        <w:tc>
          <w:tcPr>
            <w:tcW w:w="509"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56 to 78</w:t>
            </w:r>
          </w:p>
        </w:tc>
        <w:tc>
          <w:tcPr>
            <w:tcW w:w="686"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40 to 60</w:t>
            </w:r>
          </w:p>
        </w:tc>
      </w:tr>
      <w:tr w:rsidR="005211B0" w:rsidRPr="005211B0" w:rsidTr="00FE570F">
        <w:trPr>
          <w:trHeight w:val="300"/>
        </w:trPr>
        <w:tc>
          <w:tcPr>
            <w:tcW w:w="1089" w:type="pct"/>
            <w:tcBorders>
              <w:top w:val="nil"/>
              <w:left w:val="single" w:sz="4" w:space="0" w:color="auto"/>
              <w:bottom w:val="nil"/>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 </w:t>
            </w:r>
          </w:p>
        </w:tc>
        <w:tc>
          <w:tcPr>
            <w:tcW w:w="2716"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Thinly bedded meta-siltstones</w:t>
            </w:r>
          </w:p>
        </w:tc>
        <w:tc>
          <w:tcPr>
            <w:tcW w:w="509"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50 to 60</w:t>
            </w:r>
          </w:p>
        </w:tc>
        <w:tc>
          <w:tcPr>
            <w:tcW w:w="686"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35 to 45</w:t>
            </w:r>
          </w:p>
        </w:tc>
      </w:tr>
      <w:tr w:rsidR="005211B0" w:rsidRPr="005211B0" w:rsidTr="00FE570F">
        <w:trPr>
          <w:trHeight w:val="30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 </w:t>
            </w:r>
          </w:p>
        </w:tc>
        <w:tc>
          <w:tcPr>
            <w:tcW w:w="2716"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en-US"/>
              </w:rPr>
            </w:pPr>
            <w:r w:rsidRPr="005211B0">
              <w:rPr>
                <w:lang w:val="en-US"/>
              </w:rPr>
              <w:t xml:space="preserve">Folded siltstone with </w:t>
            </w:r>
            <w:proofErr w:type="spellStart"/>
            <w:r w:rsidRPr="005211B0">
              <w:rPr>
                <w:lang w:val="en-US"/>
              </w:rPr>
              <w:t>phyllite</w:t>
            </w:r>
            <w:proofErr w:type="spellEnd"/>
            <w:r w:rsidRPr="005211B0">
              <w:rPr>
                <w:lang w:val="en-US"/>
              </w:rPr>
              <w:t xml:space="preserve"> and associated shearing</w:t>
            </w:r>
          </w:p>
        </w:tc>
        <w:tc>
          <w:tcPr>
            <w:tcW w:w="509"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10 to 50</w:t>
            </w:r>
          </w:p>
        </w:tc>
        <w:tc>
          <w:tcPr>
            <w:tcW w:w="686"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10 to 30</w:t>
            </w:r>
          </w:p>
        </w:tc>
      </w:tr>
      <w:tr w:rsidR="005211B0" w:rsidRPr="005211B0" w:rsidTr="00FE570F">
        <w:trPr>
          <w:trHeight w:val="30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Hasthoji Formation</w:t>
            </w:r>
          </w:p>
        </w:tc>
        <w:tc>
          <w:tcPr>
            <w:tcW w:w="2716"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en-US"/>
              </w:rPr>
            </w:pPr>
            <w:r w:rsidRPr="005211B0">
              <w:rPr>
                <w:lang w:val="en-US"/>
              </w:rPr>
              <w:t xml:space="preserve">Very thinly to thinly bedded </w:t>
            </w:r>
            <w:proofErr w:type="spellStart"/>
            <w:r w:rsidRPr="005211B0">
              <w:rPr>
                <w:lang w:val="en-US"/>
              </w:rPr>
              <w:t>shales</w:t>
            </w:r>
            <w:proofErr w:type="spellEnd"/>
            <w:r w:rsidRPr="005211B0">
              <w:rPr>
                <w:lang w:val="en-US"/>
              </w:rPr>
              <w:t xml:space="preserve"> with </w:t>
            </w:r>
            <w:proofErr w:type="spellStart"/>
            <w:r w:rsidRPr="005211B0">
              <w:rPr>
                <w:lang w:val="en-US"/>
              </w:rPr>
              <w:t>interbeds</w:t>
            </w:r>
            <w:proofErr w:type="spellEnd"/>
            <w:r w:rsidRPr="005211B0">
              <w:rPr>
                <w:lang w:val="en-US"/>
              </w:rPr>
              <w:t xml:space="preserve"> of meta-siltstone</w:t>
            </w:r>
          </w:p>
        </w:tc>
        <w:tc>
          <w:tcPr>
            <w:tcW w:w="509"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20 to 50</w:t>
            </w:r>
          </w:p>
        </w:tc>
        <w:tc>
          <w:tcPr>
            <w:tcW w:w="686"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15 to 30</w:t>
            </w:r>
          </w:p>
        </w:tc>
      </w:tr>
      <w:tr w:rsidR="005211B0" w:rsidRPr="005211B0" w:rsidTr="00FE570F">
        <w:trPr>
          <w:trHeight w:val="300"/>
        </w:trPr>
        <w:tc>
          <w:tcPr>
            <w:tcW w:w="1089" w:type="pct"/>
            <w:tcBorders>
              <w:top w:val="nil"/>
              <w:left w:val="single" w:sz="4" w:space="0" w:color="auto"/>
              <w:bottom w:val="single" w:sz="4" w:space="0" w:color="auto"/>
              <w:right w:val="nil"/>
            </w:tcBorders>
            <w:shd w:val="clear" w:color="auto" w:fill="auto"/>
            <w:noWrap/>
            <w:vAlign w:val="bottom"/>
            <w:hideMark/>
          </w:tcPr>
          <w:p w:rsidR="005211B0" w:rsidRPr="005211B0" w:rsidRDefault="005211B0" w:rsidP="005211B0">
            <w:pPr>
              <w:rPr>
                <w:lang w:val="it-IT"/>
              </w:rPr>
            </w:pPr>
            <w:r w:rsidRPr="005211B0">
              <w:rPr>
                <w:lang w:val="it-IT"/>
              </w:rPr>
              <w:t>Hafkhalan Formation</w:t>
            </w:r>
          </w:p>
        </w:tc>
        <w:tc>
          <w:tcPr>
            <w:tcW w:w="2716" w:type="pct"/>
            <w:tcBorders>
              <w:top w:val="nil"/>
              <w:left w:val="single" w:sz="4" w:space="0" w:color="auto"/>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Thinly bedded meta-siltstone</w:t>
            </w:r>
          </w:p>
        </w:tc>
        <w:tc>
          <w:tcPr>
            <w:tcW w:w="509"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40 to 57</w:t>
            </w:r>
          </w:p>
        </w:tc>
        <w:tc>
          <w:tcPr>
            <w:tcW w:w="686" w:type="pct"/>
            <w:tcBorders>
              <w:top w:val="nil"/>
              <w:left w:val="nil"/>
              <w:bottom w:val="single" w:sz="4" w:space="0" w:color="auto"/>
              <w:right w:val="single" w:sz="4" w:space="0" w:color="auto"/>
            </w:tcBorders>
            <w:shd w:val="clear" w:color="auto" w:fill="auto"/>
            <w:noWrap/>
            <w:vAlign w:val="bottom"/>
            <w:hideMark/>
          </w:tcPr>
          <w:p w:rsidR="005211B0" w:rsidRPr="005211B0" w:rsidRDefault="005211B0" w:rsidP="005211B0">
            <w:pPr>
              <w:rPr>
                <w:lang w:val="it-IT"/>
              </w:rPr>
            </w:pPr>
            <w:r w:rsidRPr="005211B0">
              <w:rPr>
                <w:lang w:val="it-IT"/>
              </w:rPr>
              <w:t>30 to 45</w:t>
            </w:r>
          </w:p>
        </w:tc>
      </w:tr>
    </w:tbl>
    <w:p w:rsidR="005211B0" w:rsidRPr="005211B0" w:rsidRDefault="005211B0" w:rsidP="005211B0">
      <w:pPr>
        <w:rPr>
          <w:b/>
          <w:lang w:val="en-US"/>
        </w:rPr>
      </w:pPr>
    </w:p>
    <w:p w:rsidR="005211B0" w:rsidRPr="005211B0" w:rsidRDefault="005211B0" w:rsidP="005211B0">
      <w:pPr>
        <w:rPr>
          <w:b/>
          <w:lang w:val="en-US"/>
        </w:rPr>
      </w:pPr>
      <w:r w:rsidRPr="005211B0">
        <w:rPr>
          <w:b/>
          <w:lang w:val="en-US"/>
        </w:rPr>
        <w:t>Mucking, Waterproofing and Lining</w:t>
      </w:r>
    </w:p>
    <w:p w:rsidR="005211B0" w:rsidRPr="005211B0" w:rsidRDefault="005211B0" w:rsidP="005211B0">
      <w:pPr>
        <w:rPr>
          <w:lang w:val="en-US"/>
        </w:rPr>
      </w:pPr>
      <w:r w:rsidRPr="005211B0">
        <w:rPr>
          <w:lang w:val="en-US"/>
        </w:rPr>
        <w:t xml:space="preserve">For mucking transport used conveyor belts and muck cars until the external tippler system. Final shifting to dumping yard by trucks. Four cameras and recorder installed in </w:t>
      </w:r>
      <w:proofErr w:type="spellStart"/>
      <w:r w:rsidRPr="005211B0">
        <w:rPr>
          <w:lang w:val="en-US"/>
        </w:rPr>
        <w:t>TBM</w:t>
      </w:r>
      <w:proofErr w:type="spellEnd"/>
      <w:r w:rsidRPr="005211B0">
        <w:rPr>
          <w:lang w:val="en-US"/>
        </w:rPr>
        <w:t xml:space="preserve"> to control de-mucking system and train shifting. The main contractor </w:t>
      </w:r>
      <w:proofErr w:type="spellStart"/>
      <w:r w:rsidRPr="005211B0">
        <w:rPr>
          <w:lang w:val="en-US"/>
        </w:rPr>
        <w:t>HCC</w:t>
      </w:r>
      <w:proofErr w:type="spellEnd"/>
      <w:r w:rsidRPr="005211B0">
        <w:rPr>
          <w:lang w:val="en-US"/>
        </w:rPr>
        <w:t xml:space="preserve"> (Hindustan Construction Company, provided TATA dumpers vehicles. </w:t>
      </w:r>
    </w:p>
    <w:p w:rsidR="005211B0" w:rsidRPr="005211B0" w:rsidRDefault="005211B0" w:rsidP="005211B0">
      <w:pPr>
        <w:rPr>
          <w:lang w:val="en-US"/>
        </w:rPr>
      </w:pPr>
      <w:r w:rsidRPr="005211B0">
        <w:rPr>
          <w:lang w:val="en-US"/>
        </w:rPr>
        <w:t xml:space="preserve">No support foreseen, Tunnel lining is with concrete pre-cast segments in honeycomb pattern, 30 cm thick </w:t>
      </w:r>
    </w:p>
    <w:p w:rsidR="005211B0" w:rsidRPr="005211B0" w:rsidRDefault="005211B0" w:rsidP="005211B0">
      <w:pPr>
        <w:rPr>
          <w:lang w:val="en-US"/>
        </w:rPr>
      </w:pPr>
      <w:r w:rsidRPr="005211B0">
        <w:rPr>
          <w:lang w:val="en-US"/>
        </w:rPr>
        <w:t>Pea-gravel injection to fill the annular gap between rock and concrete segments. Two grouting injection steps: contact grouting and consolidation grouting.</w:t>
      </w:r>
    </w:p>
    <w:p w:rsidR="005211B0" w:rsidRPr="005211B0" w:rsidRDefault="005211B0" w:rsidP="005211B0">
      <w:pPr>
        <w:rPr>
          <w:lang w:val="en-US"/>
        </w:rPr>
      </w:pPr>
      <w:r w:rsidRPr="005211B0">
        <w:rPr>
          <w:lang w:val="en-US"/>
        </w:rPr>
        <w:t xml:space="preserve">Joints sealing between segments by special mortar to avoid water leakage and allow grouting injection performed through </w:t>
      </w:r>
      <w:proofErr w:type="spellStart"/>
      <w:r w:rsidRPr="005211B0">
        <w:rPr>
          <w:lang w:val="en-US"/>
        </w:rPr>
        <w:t>LORINN</w:t>
      </w:r>
      <w:proofErr w:type="spellEnd"/>
      <w:r w:rsidRPr="005211B0">
        <w:rPr>
          <w:lang w:val="en-US"/>
        </w:rPr>
        <w:t xml:space="preserve"> 2C cement plants composed by mixers, agitators and pumps (installed in </w:t>
      </w:r>
      <w:proofErr w:type="spellStart"/>
      <w:r w:rsidRPr="005211B0">
        <w:rPr>
          <w:lang w:val="en-US"/>
        </w:rPr>
        <w:t>TBM</w:t>
      </w:r>
      <w:proofErr w:type="spellEnd"/>
      <w:r w:rsidRPr="005211B0">
        <w:rPr>
          <w:lang w:val="en-US"/>
        </w:rPr>
        <w:t xml:space="preserve"> and external yard). </w:t>
      </w:r>
    </w:p>
    <w:p w:rsidR="005211B0" w:rsidRPr="005211B0" w:rsidRDefault="005211B0" w:rsidP="005211B0">
      <w:pPr>
        <w:rPr>
          <w:b/>
          <w:lang w:val="en-US"/>
        </w:rPr>
      </w:pPr>
      <w:r w:rsidRPr="005211B0">
        <w:rPr>
          <w:b/>
          <w:lang w:val="en-US"/>
        </w:rPr>
        <w:t xml:space="preserve">Equipment </w:t>
      </w:r>
    </w:p>
    <w:p w:rsidR="005211B0" w:rsidRPr="005211B0" w:rsidRDefault="005211B0" w:rsidP="005211B0">
      <w:pPr>
        <w:rPr>
          <w:lang w:val="en-US"/>
        </w:rPr>
      </w:pPr>
      <w:r w:rsidRPr="005211B0">
        <w:rPr>
          <w:lang w:val="en-US"/>
        </w:rPr>
        <w:lastRenderedPageBreak/>
        <w:t xml:space="preserve">During the works a Communication System Voice is installed on back-up in 6 positions in addition two telephone lines available along </w:t>
      </w:r>
      <w:proofErr w:type="spellStart"/>
      <w:r w:rsidRPr="005211B0">
        <w:rPr>
          <w:lang w:val="en-US"/>
        </w:rPr>
        <w:t>TBM</w:t>
      </w:r>
      <w:proofErr w:type="spellEnd"/>
      <w:r w:rsidRPr="005211B0">
        <w:rPr>
          <w:lang w:val="en-US"/>
        </w:rPr>
        <w:t xml:space="preserve">, to allow internal and external connectivity; </w:t>
      </w:r>
      <w:r w:rsidRPr="005211B0">
        <w:rPr>
          <w:iCs/>
          <w:lang w:val="en-US"/>
        </w:rPr>
        <w:t xml:space="preserve">traffic lights are installed along </w:t>
      </w:r>
      <w:proofErr w:type="spellStart"/>
      <w:r w:rsidRPr="005211B0">
        <w:rPr>
          <w:iCs/>
          <w:lang w:val="en-US"/>
        </w:rPr>
        <w:t>TBM</w:t>
      </w:r>
      <w:proofErr w:type="spellEnd"/>
      <w:r w:rsidRPr="005211B0">
        <w:rPr>
          <w:iCs/>
          <w:lang w:val="en-US"/>
        </w:rPr>
        <w:t xml:space="preserve"> and at rail switches along tunnel.</w:t>
      </w:r>
    </w:p>
    <w:p w:rsidR="005211B0" w:rsidRPr="005211B0" w:rsidRDefault="005211B0" w:rsidP="005211B0">
      <w:pPr>
        <w:rPr>
          <w:lang w:val="en-US"/>
        </w:rPr>
      </w:pPr>
      <w:r w:rsidRPr="005211B0">
        <w:rPr>
          <w:lang w:val="en-US"/>
        </w:rPr>
        <w:t xml:space="preserve">Other equipment: </w:t>
      </w:r>
      <w:r w:rsidRPr="005211B0">
        <w:rPr>
          <w:b/>
          <w:iCs/>
          <w:lang w:val="en-US"/>
        </w:rPr>
        <w:t>permanent and emergency lighting</w:t>
      </w:r>
      <w:r w:rsidRPr="005211B0">
        <w:rPr>
          <w:iCs/>
          <w:lang w:val="en-US"/>
        </w:rPr>
        <w:t xml:space="preserve"> (</w:t>
      </w:r>
      <w:r w:rsidRPr="005211B0">
        <w:rPr>
          <w:lang w:val="en-US"/>
        </w:rPr>
        <w:t xml:space="preserve">Emergency light Heavy duty waterproof fluorescent light 15 lux, 2 hours; Walkways light equipped with 30 lux; Works area equipped with 300 lux); </w:t>
      </w:r>
      <w:r w:rsidRPr="005211B0">
        <w:rPr>
          <w:b/>
          <w:lang w:val="en-US"/>
        </w:rPr>
        <w:t>ventilation system</w:t>
      </w:r>
      <w:r w:rsidRPr="005211B0">
        <w:rPr>
          <w:lang w:val="en-US"/>
        </w:rPr>
        <w:t xml:space="preserve"> (1600 mm Ø tunnel ventilation duct,  150 m of duct on cartridge, De-duster booster fan Model GAL7 – Max flow 8 m³/m – Total pressure 5000 Pa, clean air line booster fan Model ESN8 – Max flow 15 m³/m – Total pressure 2400 Pa); </w:t>
      </w:r>
      <w:r w:rsidRPr="005211B0">
        <w:rPr>
          <w:b/>
          <w:lang w:val="en-US"/>
        </w:rPr>
        <w:t>s</w:t>
      </w:r>
      <w:r w:rsidRPr="005211B0">
        <w:rPr>
          <w:b/>
          <w:iCs/>
          <w:lang w:val="en-US"/>
        </w:rPr>
        <w:t xml:space="preserve">afety systems </w:t>
      </w:r>
      <w:r w:rsidRPr="005211B0">
        <w:rPr>
          <w:i/>
          <w:iCs/>
          <w:lang w:val="en-US"/>
        </w:rPr>
        <w:t>(</w:t>
      </w:r>
      <w:r w:rsidRPr="005211B0">
        <w:rPr>
          <w:lang w:val="en-US"/>
        </w:rPr>
        <w:t xml:space="preserve">Gas detection system sensors for CH4, CO, CO2, O2, H2S, </w:t>
      </w:r>
      <w:proofErr w:type="spellStart"/>
      <w:r w:rsidRPr="005211B0">
        <w:rPr>
          <w:lang w:val="en-US"/>
        </w:rPr>
        <w:t>HCN</w:t>
      </w:r>
      <w:proofErr w:type="spellEnd"/>
      <w:r w:rsidRPr="005211B0">
        <w:rPr>
          <w:lang w:val="en-US"/>
        </w:rPr>
        <w:t xml:space="preserve">; Emergency diesel generator power 150 kVA; Rescue chamber present in </w:t>
      </w:r>
      <w:proofErr w:type="spellStart"/>
      <w:r w:rsidRPr="005211B0">
        <w:rPr>
          <w:lang w:val="en-US"/>
        </w:rPr>
        <w:t>TBM</w:t>
      </w:r>
      <w:proofErr w:type="spellEnd"/>
      <w:r w:rsidRPr="005211B0">
        <w:rPr>
          <w:lang w:val="en-US"/>
        </w:rPr>
        <w:t xml:space="preserve"> ); </w:t>
      </w:r>
      <w:r w:rsidRPr="005211B0">
        <w:rPr>
          <w:b/>
          <w:lang w:val="en-US"/>
        </w:rPr>
        <w:t>fire suppression system</w:t>
      </w:r>
      <w:r w:rsidRPr="005211B0">
        <w:rPr>
          <w:lang w:val="en-US"/>
        </w:rPr>
        <w:t xml:space="preserve"> composed by 22 fire extinguishers; d</w:t>
      </w:r>
      <w:r w:rsidRPr="005211B0">
        <w:rPr>
          <w:b/>
          <w:iCs/>
          <w:lang w:val="en-US"/>
        </w:rPr>
        <w:t>e-watering system</w:t>
      </w:r>
      <w:r w:rsidRPr="005211B0">
        <w:rPr>
          <w:iCs/>
          <w:lang w:val="en-US"/>
        </w:rPr>
        <w:t xml:space="preserve">, composed by 2 submersible pumps max flow 5000 l/min, Mill.ar WellPoint </w:t>
      </w:r>
      <w:proofErr w:type="spellStart"/>
      <w:r w:rsidRPr="005211B0">
        <w:rPr>
          <w:iCs/>
          <w:lang w:val="en-US"/>
        </w:rPr>
        <w:t>WAMCE</w:t>
      </w:r>
      <w:proofErr w:type="spellEnd"/>
      <w:r w:rsidRPr="005211B0">
        <w:rPr>
          <w:iCs/>
          <w:lang w:val="en-US"/>
        </w:rPr>
        <w:t xml:space="preserve"> 150.</w:t>
      </w:r>
    </w:p>
    <w:p w:rsidR="005211B0" w:rsidRPr="005211B0" w:rsidRDefault="005211B0" w:rsidP="005211B0">
      <w:pPr>
        <w:rPr>
          <w:b/>
          <w:lang w:val="en-US"/>
        </w:rPr>
      </w:pPr>
      <w:r w:rsidRPr="005211B0">
        <w:rPr>
          <w:b/>
          <w:lang w:val="en-US"/>
        </w:rPr>
        <w:t>Advancement</w:t>
      </w:r>
    </w:p>
    <w:p w:rsidR="005211B0" w:rsidRPr="005211B0" w:rsidRDefault="005211B0" w:rsidP="005211B0">
      <w:pPr>
        <w:rPr>
          <w:lang w:val="en-US"/>
        </w:rPr>
      </w:pPr>
      <w:r w:rsidRPr="005211B0">
        <w:rPr>
          <w:lang w:val="en-US"/>
        </w:rPr>
        <w:t xml:space="preserve">The tunnel excavation, started 14th of April 2011 is full section, reached the advancement of almost 7,000 m. </w:t>
      </w:r>
      <w:r w:rsidRPr="005211B0">
        <w:rPr>
          <w:bCs/>
          <w:lang w:val="en-US"/>
        </w:rPr>
        <w:t xml:space="preserve">Best records ever in India with Double Shield </w:t>
      </w:r>
      <w:proofErr w:type="spellStart"/>
      <w:r w:rsidRPr="005211B0">
        <w:rPr>
          <w:bCs/>
          <w:lang w:val="en-US"/>
        </w:rPr>
        <w:t>TBM</w:t>
      </w:r>
      <w:proofErr w:type="spellEnd"/>
      <w:r w:rsidRPr="005211B0">
        <w:rPr>
          <w:bCs/>
          <w:lang w:val="en-US"/>
        </w:rPr>
        <w:t xml:space="preserve">: 816 m and 626 m achieved in November and June 2012. </w:t>
      </w:r>
      <w:r w:rsidRPr="005211B0">
        <w:rPr>
          <w:lang w:val="en-US"/>
        </w:rPr>
        <w:t xml:space="preserve">Best daily progress: 40 m. The breakthrough is previewed in September 2014. Completion </w:t>
      </w:r>
      <w:r w:rsidR="00816541">
        <w:rPr>
          <w:lang w:val="en-US"/>
        </w:rPr>
        <w:t>expected</w:t>
      </w:r>
      <w:bookmarkStart w:id="0" w:name="_GoBack"/>
      <w:bookmarkEnd w:id="0"/>
      <w:r w:rsidRPr="005211B0">
        <w:rPr>
          <w:lang w:val="en-US"/>
        </w:rPr>
        <w:t xml:space="preserve"> by 2015. Visit </w:t>
      </w:r>
      <w:hyperlink r:id="rId7" w:history="1">
        <w:r w:rsidRPr="005211B0">
          <w:rPr>
            <w:rStyle w:val="Hyperlink"/>
            <w:lang w:val="en-US"/>
          </w:rPr>
          <w:t>http://www.nhpcindia.com/index.htm</w:t>
        </w:r>
      </w:hyperlink>
      <w:r w:rsidRPr="005211B0">
        <w:rPr>
          <w:lang w:val="en-US"/>
        </w:rPr>
        <w:t xml:space="preserve">, </w:t>
      </w:r>
      <w:hyperlink r:id="rId8" w:history="1">
        <w:r w:rsidRPr="005211B0">
          <w:rPr>
            <w:rStyle w:val="Hyperlink"/>
            <w:lang w:val="en-US"/>
          </w:rPr>
          <w:t>www.hccindia.com</w:t>
        </w:r>
      </w:hyperlink>
      <w:r w:rsidRPr="005211B0">
        <w:rPr>
          <w:lang w:val="en-US"/>
        </w:rPr>
        <w:t xml:space="preserve"> and </w:t>
      </w:r>
      <w:hyperlink r:id="rId9" w:history="1">
        <w:r w:rsidRPr="005211B0">
          <w:rPr>
            <w:rStyle w:val="Hyperlink"/>
            <w:lang w:val="en-US"/>
          </w:rPr>
          <w:t>www.selitunnel.com</w:t>
        </w:r>
      </w:hyperlink>
      <w:r w:rsidRPr="005211B0">
        <w:rPr>
          <w:lang w:val="en-US"/>
        </w:rPr>
        <w:t>. 49/12.</w:t>
      </w:r>
    </w:p>
    <w:p w:rsidR="005211B0" w:rsidRPr="005211B0" w:rsidRDefault="005211B0" w:rsidP="005211B0">
      <w:pPr>
        <w:rPr>
          <w:b/>
          <w:u w:val="single"/>
          <w:lang w:val="en-US"/>
        </w:rPr>
      </w:pPr>
    </w:p>
    <w:p w:rsidR="005211B0" w:rsidRPr="005211B0" w:rsidRDefault="005211B0" w:rsidP="005211B0">
      <w:pPr>
        <w:rPr>
          <w:lang w:val="en-US"/>
        </w:rPr>
      </w:pPr>
      <w:r w:rsidRPr="005211B0">
        <w:rPr>
          <w:lang w:val="en-US"/>
        </w:rPr>
        <w:t xml:space="preserve"> </w:t>
      </w:r>
    </w:p>
    <w:p w:rsidR="005211B0" w:rsidRPr="005211B0" w:rsidRDefault="005211B0" w:rsidP="005211B0">
      <w:pPr>
        <w:rPr>
          <w:lang w:val="en-US"/>
        </w:rPr>
      </w:pPr>
    </w:p>
    <w:p w:rsidR="00E54AC3" w:rsidRDefault="00E54AC3"/>
    <w:sectPr w:rsidR="00E54AC3" w:rsidSect="00783C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25" w:rsidRDefault="005E1925" w:rsidP="005211B0">
      <w:pPr>
        <w:spacing w:after="0" w:line="240" w:lineRule="auto"/>
      </w:pPr>
      <w:r>
        <w:separator/>
      </w:r>
    </w:p>
  </w:endnote>
  <w:endnote w:type="continuationSeparator" w:id="0">
    <w:p w:rsidR="005E1925" w:rsidRDefault="005E1925" w:rsidP="0052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25" w:rsidRDefault="005E1925" w:rsidP="005211B0">
      <w:pPr>
        <w:spacing w:after="0" w:line="240" w:lineRule="auto"/>
      </w:pPr>
      <w:r>
        <w:separator/>
      </w:r>
    </w:p>
  </w:footnote>
  <w:footnote w:type="continuationSeparator" w:id="0">
    <w:p w:rsidR="005E1925" w:rsidRDefault="005E1925" w:rsidP="00521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B0"/>
    <w:rsid w:val="005211B0"/>
    <w:rsid w:val="005E1925"/>
    <w:rsid w:val="00816541"/>
    <w:rsid w:val="00E5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1B0"/>
  </w:style>
  <w:style w:type="character" w:styleId="Hyperlink">
    <w:name w:val="Hyperlink"/>
    <w:basedOn w:val="DefaultParagraphFont"/>
    <w:uiPriority w:val="99"/>
    <w:unhideWhenUsed/>
    <w:rsid w:val="005211B0"/>
    <w:rPr>
      <w:color w:val="0000FF" w:themeColor="hyperlink"/>
      <w:u w:val="single"/>
    </w:rPr>
  </w:style>
  <w:style w:type="character" w:styleId="FollowedHyperlink">
    <w:name w:val="FollowedHyperlink"/>
    <w:basedOn w:val="DefaultParagraphFont"/>
    <w:uiPriority w:val="99"/>
    <w:semiHidden/>
    <w:unhideWhenUsed/>
    <w:rsid w:val="005211B0"/>
    <w:rPr>
      <w:color w:val="800080" w:themeColor="followedHyperlink"/>
      <w:u w:val="single"/>
    </w:rPr>
  </w:style>
  <w:style w:type="paragraph" w:styleId="Footer">
    <w:name w:val="footer"/>
    <w:basedOn w:val="Normal"/>
    <w:link w:val="FooterChar"/>
    <w:uiPriority w:val="99"/>
    <w:unhideWhenUsed/>
    <w:rsid w:val="00521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1B0"/>
  </w:style>
  <w:style w:type="character" w:styleId="Hyperlink">
    <w:name w:val="Hyperlink"/>
    <w:basedOn w:val="DefaultParagraphFont"/>
    <w:uiPriority w:val="99"/>
    <w:unhideWhenUsed/>
    <w:rsid w:val="005211B0"/>
    <w:rPr>
      <w:color w:val="0000FF" w:themeColor="hyperlink"/>
      <w:u w:val="single"/>
    </w:rPr>
  </w:style>
  <w:style w:type="character" w:styleId="FollowedHyperlink">
    <w:name w:val="FollowedHyperlink"/>
    <w:basedOn w:val="DefaultParagraphFont"/>
    <w:uiPriority w:val="99"/>
    <w:semiHidden/>
    <w:unhideWhenUsed/>
    <w:rsid w:val="005211B0"/>
    <w:rPr>
      <w:color w:val="800080" w:themeColor="followedHyperlink"/>
      <w:u w:val="single"/>
    </w:rPr>
  </w:style>
  <w:style w:type="paragraph" w:styleId="Footer">
    <w:name w:val="footer"/>
    <w:basedOn w:val="Normal"/>
    <w:link w:val="FooterChar"/>
    <w:uiPriority w:val="99"/>
    <w:unhideWhenUsed/>
    <w:rsid w:val="00521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india.com" TargetMode="External"/><Relationship Id="rId3" Type="http://schemas.openxmlformats.org/officeDocument/2006/relationships/settings" Target="settings.xml"/><Relationship Id="rId7" Type="http://schemas.openxmlformats.org/officeDocument/2006/relationships/hyperlink" Target="http://www.nhpcindia.com/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litunn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Tunnel Builder Limited</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Tunnelbuilder Ltd</dc:creator>
  <cp:lastModifiedBy>Tunnelbuilder Ltd</cp:lastModifiedBy>
  <cp:revision>2</cp:revision>
  <dcterms:created xsi:type="dcterms:W3CDTF">2012-12-10T08:21:00Z</dcterms:created>
  <dcterms:modified xsi:type="dcterms:W3CDTF">2012-12-10T08:21:00Z</dcterms:modified>
</cp:coreProperties>
</file>